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051396" w:rsidTr="00051396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96" w:rsidRDefault="00051396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051396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051396" w:rsidRDefault="00051396" w:rsidP="00051396">
                  <w:pPr>
                    <w:jc w:val="both"/>
                  </w:pPr>
                  <w:r>
                    <w:rPr>
                      <w:color w:val="000000"/>
                    </w:rPr>
                    <w:t>Приложение №</w:t>
                  </w:r>
                  <w:r>
                    <w:rPr>
                      <w:color w:val="000000"/>
                    </w:rPr>
                    <w:t>6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 628( 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МС№ 635 от 09.01.2024 года, №636 от 18.01.2024 года№ 638 от 14.02.2024 года,№ 642 от 04.04.2024 года,№ 645 от 22.04.2024 года,№ 651 от 10.06.2024 года)</w:t>
                  </w:r>
                </w:p>
              </w:tc>
            </w:tr>
          </w:tbl>
          <w:p w:rsidR="00051396" w:rsidRDefault="00051396">
            <w:pPr>
              <w:spacing w:line="0" w:lineRule="auto"/>
            </w:pPr>
          </w:p>
        </w:tc>
      </w:tr>
    </w:tbl>
    <w:p w:rsidR="00051396" w:rsidRDefault="00051396" w:rsidP="00051396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051396" w:rsidTr="00051396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051396" w:rsidRDefault="00051396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>Ведомственная структура расходов бюджета Борисоглебского сельского поселения на 2024 год</w:t>
            </w:r>
          </w:p>
        </w:tc>
      </w:tr>
    </w:tbl>
    <w:p w:rsidR="00051396" w:rsidRDefault="00051396" w:rsidP="00051396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573"/>
        <w:gridCol w:w="1247"/>
        <w:gridCol w:w="2266"/>
        <w:gridCol w:w="1416"/>
        <w:gridCol w:w="1983"/>
      </w:tblGrid>
      <w:tr w:rsidR="00051396" w:rsidTr="00051396">
        <w:trPr>
          <w:tblHeader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34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20"/>
            </w:tblGrid>
            <w:tr w:rsidR="00051396">
              <w:trPr>
                <w:jc w:val="center"/>
              </w:trPr>
              <w:tc>
                <w:tcPr>
                  <w:tcW w:w="3424" w:type="dxa"/>
                  <w:hideMark/>
                </w:tcPr>
                <w:p w:rsidR="00051396" w:rsidRDefault="00051396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051396" w:rsidRDefault="00051396">
            <w:pPr>
              <w:spacing w:line="0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396" w:rsidRDefault="0005139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5"/>
            </w:tblGrid>
            <w:tr w:rsidR="00051396">
              <w:trPr>
                <w:jc w:val="center"/>
              </w:trPr>
              <w:tc>
                <w:tcPr>
                  <w:tcW w:w="1097" w:type="dxa"/>
                  <w:hideMark/>
                </w:tcPr>
                <w:p w:rsidR="00051396" w:rsidRDefault="00051396">
                  <w:pPr>
                    <w:jc w:val="center"/>
                  </w:pPr>
                  <w:r>
                    <w:rPr>
                      <w:color w:val="000000"/>
                    </w:rPr>
                    <w:t>Главный распоря-дитель</w:t>
                  </w:r>
                </w:p>
              </w:tc>
            </w:tr>
          </w:tbl>
          <w:p w:rsidR="00051396" w:rsidRDefault="00051396">
            <w:pPr>
              <w:spacing w:line="0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396" w:rsidRDefault="0005139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5"/>
            </w:tblGrid>
            <w:tr w:rsidR="00051396">
              <w:trPr>
                <w:jc w:val="center"/>
              </w:trPr>
              <w:tc>
                <w:tcPr>
                  <w:tcW w:w="2117" w:type="dxa"/>
                  <w:hideMark/>
                </w:tcPr>
                <w:p w:rsidR="00051396" w:rsidRDefault="00051396">
                  <w:pPr>
                    <w:jc w:val="center"/>
                  </w:pPr>
                  <w:r>
                    <w:rPr>
                      <w:color w:val="000000"/>
                    </w:rPr>
                    <w:t>Код целевой классиф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051396" w:rsidRDefault="00051396">
            <w:pPr>
              <w:spacing w:line="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396" w:rsidRDefault="0005139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051396">
              <w:trPr>
                <w:jc w:val="center"/>
              </w:trPr>
              <w:tc>
                <w:tcPr>
                  <w:tcW w:w="1267" w:type="dxa"/>
                  <w:hideMark/>
                </w:tcPr>
                <w:p w:rsidR="00051396" w:rsidRDefault="00051396">
                  <w:pPr>
                    <w:jc w:val="center"/>
                  </w:pPr>
                  <w:r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051396" w:rsidRDefault="00051396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396" w:rsidRDefault="0005139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051396">
              <w:trPr>
                <w:jc w:val="center"/>
              </w:trPr>
              <w:tc>
                <w:tcPr>
                  <w:tcW w:w="1834" w:type="dxa"/>
                  <w:hideMark/>
                </w:tcPr>
                <w:p w:rsidR="00051396" w:rsidRDefault="00051396">
                  <w:pPr>
                    <w:jc w:val="center"/>
                  </w:pPr>
                  <w:r>
                    <w:rPr>
                      <w:color w:val="000000"/>
                    </w:rPr>
                    <w:t xml:space="preserve">2024 год </w:t>
                  </w:r>
                </w:p>
                <w:p w:rsidR="00051396" w:rsidRDefault="00051396">
                  <w:pPr>
                    <w:jc w:val="center"/>
                  </w:pPr>
                  <w:r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051396" w:rsidRDefault="00051396">
            <w:pPr>
              <w:spacing w:line="0" w:lineRule="auto"/>
            </w:pP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Борисоглебского сельского поселения Борисоглебск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муниципального района Яросла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ской области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54 497 835,53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культуры, туризма и молоде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ной политики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1 141 158,96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досуга и обеспечения жителей Борисоглебского сельского поселения услугами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культуры"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694 202,62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равного доступа к кул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турным благам и возможности реал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зации творческого потенциала в сфере культуры и искусства для всех жит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лей Борисоглебского сельского посел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694 202,62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по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печению жителей Борисоглебского сельского поселения услугами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культуры за счет средств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694 202,62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694 202,62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библиотечн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дела на территории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368 405,65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Пополнение, обеспечение сохранности библиотечного фонда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368 405,65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низации библиотечного обслуживания населения, комплектованию и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368 405,65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368 405,65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"Молодежь"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78 550,69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в полном объеме системы мероприятий, обеспечивающих форм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рование активного социально-</w:t>
            </w:r>
            <w:r>
              <w:rPr>
                <w:i/>
                <w:iCs/>
                <w:color w:val="000000"/>
              </w:rPr>
              <w:lastRenderedPageBreak/>
              <w:t>значимого отношения молодежи к проблемам общества и окружающей среды, способствующего росту уровня жизни молодого поколения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78 550,69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на осуществление мероприятий по работе с детьми и молодежью Борисоглебск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78 550,69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78 550,69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"Физ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ческая культура и спорт в Борис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103 405,76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103 405,76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Совершенствование организации фи</w:t>
            </w:r>
            <w:r>
              <w:rPr>
                <w:i/>
                <w:iCs/>
                <w:color w:val="000000"/>
              </w:rPr>
              <w:t>з</w:t>
            </w:r>
            <w:r>
              <w:rPr>
                <w:i/>
                <w:iCs/>
                <w:color w:val="000000"/>
              </w:rPr>
              <w:t>культурно-спортивной деятельности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103 405,76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для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вития физической культуры и массов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спорта на территории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103 405,76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103 405,76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печение качественными коммунал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ными услугами населения Борис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по поддержке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капитального ремонта и общего имущества многоквартирных домов в Борисоглебском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560 000,00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многокварти</w:t>
            </w:r>
            <w:r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>ных домов и ремонт общего имущ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ства, находящихся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Финансовые средства на взнос кап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тального ремонта за нанимателей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лых помещений муниципального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380 000,00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380 000,00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Меры муниципальной поддержки пр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ведения капитального ремонта общего имущества в многоквартирных домах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оборудованию мног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квартирных домов приспособлениями для обеспечения их физической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ступности для инвалидов с 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ями опорно-двигательного аппарата за </w:t>
            </w:r>
            <w:r>
              <w:rPr>
                <w:color w:val="000000"/>
              </w:rPr>
              <w:lastRenderedPageBreak/>
              <w:t>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03.3.02.70140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180 000,00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180 000,00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местного самоуправления Бор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службы в Администрации Борис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глебского сельского поселения Яр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славской области"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390 000,00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профессионал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ного развития и подготовки кадров муниципальной службы в администр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ции Борисоглебского сельского посел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ния, стимулирование муниципальных служащих к обучению, повышению квалификации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развития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04.1.04.65220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устойчивого развития кадрового потенциала и повышения эффективности муниципальной слу</w:t>
            </w:r>
            <w:r>
              <w:rPr>
                <w:i/>
                <w:iCs/>
                <w:color w:val="000000"/>
              </w:rPr>
              <w:t>ж</w:t>
            </w:r>
            <w:r>
              <w:rPr>
                <w:i/>
                <w:iCs/>
                <w:color w:val="000000"/>
              </w:rPr>
              <w:t>бы, внедрение новых методов планир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вания, стимулирования и оценки де</w:t>
            </w:r>
            <w:r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>тельности муниципальных служащих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развития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печение доступным и комфортным жильем населения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4 357 202,00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адресная программа по переселению граждан из аварийного жилищного фонда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2 756 000,00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Переселение граждан из аварийного жилищного фонда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05.1.F3.00000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2 756 000,00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Финансирование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граждан из аварийного жилищн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фонда с учетом необходимости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lastRenderedPageBreak/>
              <w:t>вития малоэтажного жилищного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05.1.F3.67483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2 645 760,00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2 645 760,00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Финансирование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граждан из аварийного жилищн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фонда с учетом необходимости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вития малоэтажного жилищного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05.1.F3.67484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104 728,00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104 728,00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Финансирование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граждан из аварийного жилищн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фонда с учетом необходимости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вития малоэтажного жилищного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за счет средств бюджета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05.1.F3.6748S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5 512,00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5 512,00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молодых семей, проживающих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1 601 202,00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Увеличение доли молодых семей, им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ющих возможность приобретения (строительства) жилья с помощью собственных, заемных средств, а также социальных выплат и субсидий на приобретение (строительство)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1 601 202,00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Поддержка молодых семей, прожив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ющих на территории Борисоглебского сельского поселения, в приобретении (строительстве) жилья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1 601 202,00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1 601 202,00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дорожного хозяйства и тран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порта в Борисоглебском сельском поселении"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3 636 029,00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сети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Борисоглебского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3 636 029,00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ремонт, ремонт и с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держание дорог общего пользования, а также мостовых и иных конструкций на них в границах населенных пунктов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3 636 029,00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lastRenderedPageBreak/>
              <w:t>жание мостовых и иных конструкций в границах населенных пунктов Борис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3 636 029,00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3 636 029,00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"Защита населения и территории Борисогле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ского сельского поселения от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объектах"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и территории Борисоглебского сельского поселения от чрезвычайных ситуаций, обеспечение пожарной безопасности и безопасности людей на водных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тах"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105 000,00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Разработка и реализация меропри</w:t>
            </w:r>
            <w:r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>тий, направленных на соблюдение пр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вил пожарной безопасности населен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ем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пожарной безопасности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105 000,00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105 000,00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Борисогле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22 735 313,45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 Содержание объектов благоустройства на территории Бор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22 735 313,45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6 315 567,28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6 315 567,28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6 315 567,28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Приведение в качественное состояние элементов благоустройства населе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09.1.02.65400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719 993,15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719 993,15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719 993,15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Оздоровление санитарной экологич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ской обстановки в поселении и на св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бодных территориях, ликвидация ст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хийных навалов мусора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2 113 810,96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территории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2 113 810,96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2 113 810,96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функции уличного освещ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4 598 010,06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Расходы на уличное освещение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Борисоглебского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890 010,06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889 880,36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129,70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переданных полномочий в части организации уличного освещ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3 708 000,00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3 708 000,00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Благоустройство дворовых террит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рий, установка детских игровых пл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щадок и обустройство территории для выгула животных в Борисогле</w:t>
            </w:r>
            <w:r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>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8 787 932,00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дворовых территорий, установку детских игровых площадок и обустройство территории для выгула животных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09.1.07.70410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8 787 932,00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8 787 932,00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печение жителей Борисоглебского сельского поселения услугами связи, общественного питания, торговли и бытового обслуживания"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535 686,00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бытового </w:t>
            </w:r>
            <w:r>
              <w:rPr>
                <w:color w:val="000000"/>
              </w:rPr>
              <w:lastRenderedPageBreak/>
              <w:t>обслуживания населения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535 686,00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Повышение качества и доступности бытовых услуг и товаров для насел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533 686,00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организациям и индивидуал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предпринимателям, занимающи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ся доставкой товаров в отдаленные сельские населенные пункты,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2 685,00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2 685,00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для обеспечения жителей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организациям и индивидуал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предпринимателям, занимающи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ся доставкой товаров в отдаленные сельские населенные пункты, за счет средств областного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51 001,00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51 001,00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Расширение ассортимента пред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ставляемых населению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12.1.02.65500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мирование современной городской среды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7 675 439,00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"Формирование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менной городской среды на территории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7 675 439,00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Формирование современной город-ской среды Борисоглебского сельско-го п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7 675 439,00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современной городской среды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7 675 439,00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7 675 439,00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пользование и охрана земель на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ритории Борисоглебского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"Использование и 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 земель на территории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эффективности использ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вания и охраны земель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рационального использования и охраны земель на территории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16.1.01.65520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13 257 601,36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355 290,00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353 810,00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1 480,00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ренных нормативными правовыми 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тами органов государственной власти Ярославской области,за счет средств областного бюджета 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20.0.00.73260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37 465,53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37 465,53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(муниципальными)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6 241 558,34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lastRenderedPageBreak/>
              <w:t>ударственными (муниципальными)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4 417 730,00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1 568 375,04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255 453,30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органы муниципального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880 424,00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880 424,00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ряжению имуществом, находящимся в муниципальной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367 822,98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367 822,98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по исполнению бюджета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 части казначейского исполнения бюджета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местных администраций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контрольно-счетного органа Бор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соглебского сельского поселения по осуществлению внешнего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финансового контроля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83 020,48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83 020,48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по организации библиотечного обслуживания населения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по созданию условий для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досуга жителей Борисоглебского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чий по обеспечению условий для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вития на территории Борисоглебского сельского поселения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и массового спорта и организации проведения официальных физкульту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но-оздоровительных и спортивных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по организации мероприятий по работе с детьми и молодежью в Бор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соглебском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Доплата к пенсии лицам, замещавшим муниципальные должности и должн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муниципальной службы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обслуживания, части создания условий для обеспечения жителей поселения услугами бань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3 146 582,85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3 146 582,85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рисоглебского сельского поселения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2 669,07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2 669,07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переданных полномочий по внутреннему муниципальному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нансовому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переданных полномочий по муниципальному жилищному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ществление переданных полномочий по муниципальному контролю в сфере благоустройства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переданных полномочий по организации уличного освещения в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20.0.00.85260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399 541,29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399 541,29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54 497 835,53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54 497 835,53</w:t>
            </w:r>
          </w:p>
        </w:tc>
      </w:tr>
      <w:tr w:rsidR="00051396" w:rsidTr="00051396"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1396" w:rsidRDefault="00051396">
            <w:pPr>
              <w:rPr>
                <w:color w:val="000000"/>
              </w:rPr>
            </w:pPr>
            <w:r>
              <w:rPr>
                <w:color w:val="000000"/>
              </w:rPr>
              <w:t>Дефицит (-), профицит (+)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396" w:rsidRDefault="00051396">
            <w:pPr>
              <w:rPr>
                <w:color w:val="000000"/>
              </w:rPr>
            </w:pPr>
          </w:p>
        </w:tc>
      </w:tr>
    </w:tbl>
    <w:p w:rsidR="00051396" w:rsidRDefault="00051396" w:rsidP="00051396"/>
    <w:p w:rsidR="0066718A" w:rsidRPr="00051396" w:rsidRDefault="0066718A" w:rsidP="00051396"/>
    <w:sectPr w:rsidR="0066718A" w:rsidRPr="00051396" w:rsidSect="00593D52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03" w:rsidRDefault="00087D03" w:rsidP="00593D52">
      <w:r>
        <w:separator/>
      </w:r>
    </w:p>
  </w:endnote>
  <w:endnote w:type="continuationSeparator" w:id="0">
    <w:p w:rsidR="00087D03" w:rsidRDefault="00087D03" w:rsidP="0059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593D52">
      <w:tc>
        <w:tcPr>
          <w:tcW w:w="10704" w:type="dxa"/>
        </w:tcPr>
        <w:p w:rsidR="00593D52" w:rsidRDefault="0066718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93D52" w:rsidRDefault="00593D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03" w:rsidRDefault="00087D03" w:rsidP="00593D52">
      <w:r>
        <w:separator/>
      </w:r>
    </w:p>
  </w:footnote>
  <w:footnote w:type="continuationSeparator" w:id="0">
    <w:p w:rsidR="00087D03" w:rsidRDefault="00087D03" w:rsidP="0059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593D52">
      <w:tc>
        <w:tcPr>
          <w:tcW w:w="10704" w:type="dxa"/>
        </w:tcPr>
        <w:p w:rsidR="00593D52" w:rsidRDefault="00593D52">
          <w:pPr>
            <w:jc w:val="center"/>
            <w:rPr>
              <w:color w:val="000000"/>
            </w:rPr>
          </w:pPr>
          <w:r>
            <w:fldChar w:fldCharType="begin"/>
          </w:r>
          <w:r w:rsidR="0066718A">
            <w:rPr>
              <w:color w:val="000000"/>
            </w:rPr>
            <w:instrText>PAGE</w:instrText>
          </w:r>
          <w:r>
            <w:fldChar w:fldCharType="separate"/>
          </w:r>
          <w:r w:rsidR="00051396">
            <w:rPr>
              <w:noProof/>
              <w:color w:val="000000"/>
            </w:rPr>
            <w:t>2</w:t>
          </w:r>
          <w:r>
            <w:fldChar w:fldCharType="end"/>
          </w:r>
        </w:p>
        <w:p w:rsidR="00593D52" w:rsidRDefault="00593D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D52"/>
    <w:rsid w:val="00051396"/>
    <w:rsid w:val="00087D03"/>
    <w:rsid w:val="000C64C2"/>
    <w:rsid w:val="00593D52"/>
    <w:rsid w:val="0066718A"/>
    <w:rsid w:val="00714713"/>
    <w:rsid w:val="007B0312"/>
    <w:rsid w:val="00930877"/>
    <w:rsid w:val="00A816A7"/>
    <w:rsid w:val="00B4789C"/>
    <w:rsid w:val="00BD037F"/>
    <w:rsid w:val="00C1733A"/>
    <w:rsid w:val="00D74CD8"/>
    <w:rsid w:val="00D86DA9"/>
    <w:rsid w:val="00E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3D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4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2023-12-28T08:29:00Z</cp:lastPrinted>
  <dcterms:created xsi:type="dcterms:W3CDTF">2023-12-28T08:30:00Z</dcterms:created>
  <dcterms:modified xsi:type="dcterms:W3CDTF">2024-06-13T12:11:00Z</dcterms:modified>
</cp:coreProperties>
</file>