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816356" w:rsidTr="00816356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356" w:rsidRDefault="00816356">
            <w:pPr>
              <w:spacing w:line="0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616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5"/>
            </w:tblGrid>
            <w:tr w:rsidR="00816356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816356" w:rsidRDefault="00816356">
                  <w:pPr>
                    <w:jc w:val="both"/>
                  </w:pPr>
                  <w:r>
                    <w:rPr>
                      <w:color w:val="000000"/>
                    </w:rPr>
                    <w:t>Приложение №7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 628(в реда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ции Решения Мс №638 от 14.02.2024 года,№ 645 от 22.04.2024 года)</w:t>
                  </w:r>
                </w:p>
              </w:tc>
            </w:tr>
          </w:tbl>
          <w:p w:rsidR="00816356" w:rsidRDefault="00816356">
            <w:pPr>
              <w:spacing w:line="0" w:lineRule="auto"/>
            </w:pPr>
          </w:p>
        </w:tc>
      </w:tr>
    </w:tbl>
    <w:p w:rsidR="00816356" w:rsidRDefault="00816356" w:rsidP="00816356">
      <w:pPr>
        <w:rPr>
          <w:vanish/>
        </w:rPr>
      </w:pPr>
    </w:p>
    <w:tbl>
      <w:tblPr>
        <w:tblOverlap w:val="never"/>
        <w:tblW w:w="154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0"/>
      </w:tblGrid>
      <w:tr w:rsidR="00816356" w:rsidTr="00816356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816356" w:rsidRDefault="00816356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>Ведомственная структура расходов бюджета Борисоглебского сельского поселения на плановый период 2025 и 2026 годов</w:t>
            </w:r>
          </w:p>
        </w:tc>
      </w:tr>
    </w:tbl>
    <w:p w:rsidR="00816356" w:rsidRDefault="00816356" w:rsidP="00816356">
      <w:pPr>
        <w:rPr>
          <w:vanish/>
        </w:rPr>
      </w:pPr>
      <w:bookmarkStart w:id="1" w:name="__bookmark_1"/>
      <w:bookmarkEnd w:id="1"/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6521"/>
        <w:gridCol w:w="1247"/>
        <w:gridCol w:w="2267"/>
        <w:gridCol w:w="1417"/>
        <w:gridCol w:w="1984"/>
        <w:gridCol w:w="1984"/>
      </w:tblGrid>
      <w:tr w:rsidR="00816356" w:rsidTr="00816356">
        <w:trPr>
          <w:tblHeader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63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75"/>
            </w:tblGrid>
            <w:tr w:rsidR="00816356">
              <w:trPr>
                <w:jc w:val="center"/>
              </w:trPr>
              <w:tc>
                <w:tcPr>
                  <w:tcW w:w="6372" w:type="dxa"/>
                  <w:hideMark/>
                </w:tcPr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816356" w:rsidRDefault="00816356">
            <w:pPr>
              <w:spacing w:line="0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356" w:rsidRDefault="0081635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5"/>
            </w:tblGrid>
            <w:tr w:rsidR="00816356">
              <w:trPr>
                <w:jc w:val="center"/>
              </w:trPr>
              <w:tc>
                <w:tcPr>
                  <w:tcW w:w="1097" w:type="dxa"/>
                  <w:hideMark/>
                </w:tcPr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>Главный распоря-дитель</w:t>
                  </w:r>
                </w:p>
              </w:tc>
            </w:tr>
          </w:tbl>
          <w:p w:rsidR="00816356" w:rsidRDefault="00816356">
            <w:pPr>
              <w:spacing w:line="0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356" w:rsidRDefault="0081635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816356">
              <w:trPr>
                <w:jc w:val="center"/>
              </w:trPr>
              <w:tc>
                <w:tcPr>
                  <w:tcW w:w="2117" w:type="dxa"/>
                  <w:hideMark/>
                </w:tcPr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>Код целевой классиф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816356" w:rsidRDefault="00816356">
            <w:pPr>
              <w:spacing w:line="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356" w:rsidRDefault="0081635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816356">
              <w:trPr>
                <w:jc w:val="center"/>
              </w:trPr>
              <w:tc>
                <w:tcPr>
                  <w:tcW w:w="1267" w:type="dxa"/>
                  <w:hideMark/>
                </w:tcPr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816356" w:rsidRDefault="00816356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356" w:rsidRDefault="0081635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816356">
              <w:trPr>
                <w:jc w:val="center"/>
              </w:trPr>
              <w:tc>
                <w:tcPr>
                  <w:tcW w:w="1834" w:type="dxa"/>
                  <w:hideMark/>
                </w:tcPr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 xml:space="preserve">2025 год </w:t>
                  </w:r>
                </w:p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816356" w:rsidRDefault="00816356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356" w:rsidRDefault="0081635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816356">
              <w:trPr>
                <w:jc w:val="center"/>
              </w:trPr>
              <w:tc>
                <w:tcPr>
                  <w:tcW w:w="1834" w:type="dxa"/>
                  <w:hideMark/>
                </w:tcPr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 xml:space="preserve">2026 год </w:t>
                  </w:r>
                </w:p>
                <w:p w:rsidR="00816356" w:rsidRDefault="00816356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816356" w:rsidRDefault="00816356">
            <w:pPr>
              <w:spacing w:line="0" w:lineRule="auto"/>
            </w:pP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Борисоглебского сельского поселения Борисогле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ского муниципального района Ярославской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11 675 513,00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9 029 137,00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культуры, туризма и мол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дежной политики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1 186 805,31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1 234 277,53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досуга и обеспечения жителей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 услугами организации культуры"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750 849,55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равного доступа к культурным благам и возможности ре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лизации творческого потенциала в сфере культуры и искусства для всех жителей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750 849,55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750 849,55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750 849,55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библиотечного дела на территории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398 467,55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398 467,55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организации библиотечного обслужив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населения, комплектованию и обеспечению сохранности библиоте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398 467,55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398 467,55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"Молодежь"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84 960,43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Реализация в полном объеме системы мероприятий, обеспечивающих формирование активного социально-значимого отношения молодежи к проблемам общества и окружающей среды, способствующего росту </w:t>
            </w:r>
            <w:r>
              <w:rPr>
                <w:i/>
                <w:iCs/>
                <w:color w:val="000000"/>
              </w:rPr>
              <w:lastRenderedPageBreak/>
              <w:t>уровня жизни молодого поколения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84 960,43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84 960,43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84 960,43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"Физическая культура и спорт в Бор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111 843,67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 в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111 843,67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Совершенствование организации физкультурно-спортивной деятельн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111 843,67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для развития физической культуры и массового спорта на территории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111 843,67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111 843,67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качественными комм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нальными услугами населения Борисоглебского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по поддержке проведения капитального ремонта и общего имущества многоквартирных домов в Борисоглебском сельском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многоквартирных домов и ремонт общего имущ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ства, находящихся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Финансовые средства на взнос капитального ремонта за нанимателей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лых помещений муниципального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местного самоуправления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 в Администрации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рисоглебского сельского поселения Ярославской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устойчивого развития кадрового потенциала и повышения эффективности муниципальной службы, внедрение новых методов пл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нирования, стимулирования и оценки деятельности муниципальных сл</w:t>
            </w:r>
            <w:r>
              <w:rPr>
                <w:i/>
                <w:iCs/>
                <w:color w:val="000000"/>
              </w:rPr>
              <w:t>у</w:t>
            </w:r>
            <w:r>
              <w:rPr>
                <w:i/>
                <w:iCs/>
                <w:color w:val="000000"/>
              </w:rPr>
              <w:t>жащих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доступным и комфортным жильем населения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951 212,00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молодых семей, проживающих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951 212,00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Увеличение доли молодых семей, имеющих возможность приобретения (строительства) жилья с помощью собственных, заемных средств, а также социальных выплат и субсидий на приобретение (строител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ство)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951 212,00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Поддержка молодых семей, проживающих на территории Борисоглебск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поселения, в приобретении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951 212,00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951 212,00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территории Бор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соглебского сельского поселения от чрезвычайных ситуаций,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пожарной безопасности и безопасности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и территории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от чрезвычайных ситуаций, обеспечение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и безопасности людей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мероприятий по пожарной безопасности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Благоустройство территории Борис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2 142 603,11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 Содержание объектов благоустройства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2 142 603,11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в части организации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жителей Борисоглебского сельского поселения услугами связи, общественного питания, то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lastRenderedPageBreak/>
              <w:t>говли и бытового обслуживания"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156 611,58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«Развитие бытового обслуживания населения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Борисоглебского сельского поселения»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156 611,58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качества и доступности бытовых услуг и товаров для нас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156 611,58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организациям и индивидуал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предпринимателям, занимающимся доставкой товаров в отдаленные сельские населенные пункты,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гами бытового обслуживания в части создания условий для обеспечения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организациям и индивидуал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предпринимателям, занимающимся доставкой товаров в отдаленные сельские населенные пункты,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6 234 140,01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6 575 192,22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ствуют военные комиссариаты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425 644,00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(муниципальными)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388 671,00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424 144,00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lastRenderedPageBreak/>
              <w:t>ций государственными (муниципальными)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3 715 292,64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4 093 171,85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(муниципальными)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3 258 094,64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3 929 425,57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124 548,28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39 198,00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39 198,00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управлению, распоряжению имуществом, находящимся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исполнению бюджета поселения в части казначейского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бюджета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органов местных администраций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организации библиотечного обслуживания населения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созданию условий для организации досуга жителей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на осуществление переданных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обеспечению условий для развития на территории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 физической культуры и массового спорта и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организации мероприятий по работе с детьми и молодежью в Борисоглебском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лицам, замещавшим муниципальные должности и должности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гами бытового обслуживания, части создания условий для обеспечения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внутреннему муниципальному финансовому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муниципальному жилищному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муниципальному контролю в сфере благоустройства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переданных полномочий по организации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479 449,55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479 449,55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479 449,55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479 449,55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11 675 513,00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9 029 137,00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394 500,00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9 423 637,00</w:t>
            </w:r>
          </w:p>
        </w:tc>
      </w:tr>
      <w:tr w:rsidR="00816356" w:rsidTr="00816356"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6356" w:rsidRDefault="00816356">
            <w:pPr>
              <w:rPr>
                <w:color w:val="000000"/>
              </w:rPr>
            </w:pPr>
            <w:r>
              <w:rPr>
                <w:color w:val="000000"/>
              </w:rPr>
              <w:t>Дефицит (-), профицит (+)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356" w:rsidRDefault="00816356">
            <w:pPr>
              <w:rPr>
                <w:color w:val="000000"/>
              </w:rPr>
            </w:pPr>
          </w:p>
        </w:tc>
      </w:tr>
    </w:tbl>
    <w:p w:rsidR="00816356" w:rsidRDefault="00816356" w:rsidP="00816356"/>
    <w:p w:rsidR="00C51E15" w:rsidRPr="002B22C2" w:rsidRDefault="00C51E15" w:rsidP="002B22C2"/>
    <w:sectPr w:rsidR="00C51E15" w:rsidRPr="002B22C2" w:rsidSect="00CE792C">
      <w:headerReference w:type="default" r:id="rId7"/>
      <w:footerReference w:type="default" r:id="rId8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91" w:rsidRDefault="00F91A91" w:rsidP="00CE792C">
      <w:r>
        <w:separator/>
      </w:r>
    </w:p>
  </w:endnote>
  <w:endnote w:type="continuationSeparator" w:id="0">
    <w:p w:rsidR="00F91A91" w:rsidRDefault="00F91A91" w:rsidP="00CE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E792C">
      <w:tc>
        <w:tcPr>
          <w:tcW w:w="15636" w:type="dxa"/>
        </w:tcPr>
        <w:p w:rsidR="00CE792C" w:rsidRDefault="00C51E1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E792C" w:rsidRDefault="00CE792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91" w:rsidRDefault="00F91A91" w:rsidP="00CE792C">
      <w:r>
        <w:separator/>
      </w:r>
    </w:p>
  </w:footnote>
  <w:footnote w:type="continuationSeparator" w:id="0">
    <w:p w:rsidR="00F91A91" w:rsidRDefault="00F91A91" w:rsidP="00CE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E792C">
      <w:tc>
        <w:tcPr>
          <w:tcW w:w="15636" w:type="dxa"/>
        </w:tcPr>
        <w:p w:rsidR="00CE792C" w:rsidRDefault="00CE792C">
          <w:pPr>
            <w:jc w:val="center"/>
            <w:rPr>
              <w:color w:val="000000"/>
            </w:rPr>
          </w:pPr>
          <w:r>
            <w:fldChar w:fldCharType="begin"/>
          </w:r>
          <w:r w:rsidR="00C51E15">
            <w:rPr>
              <w:color w:val="000000"/>
            </w:rPr>
            <w:instrText>PAGE</w:instrText>
          </w:r>
          <w:r>
            <w:fldChar w:fldCharType="separate"/>
          </w:r>
          <w:r w:rsidR="00816356">
            <w:rPr>
              <w:noProof/>
              <w:color w:val="000000"/>
            </w:rPr>
            <w:t>8</w:t>
          </w:r>
          <w:r>
            <w:fldChar w:fldCharType="end"/>
          </w:r>
        </w:p>
        <w:p w:rsidR="00CE792C" w:rsidRDefault="00CE792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92C"/>
    <w:rsid w:val="00295FFB"/>
    <w:rsid w:val="002B22C2"/>
    <w:rsid w:val="00816356"/>
    <w:rsid w:val="00C457C9"/>
    <w:rsid w:val="00C51E15"/>
    <w:rsid w:val="00CE792C"/>
    <w:rsid w:val="00F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E79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5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2023-12-28T08:30:00Z</cp:lastPrinted>
  <dcterms:created xsi:type="dcterms:W3CDTF">2023-12-28T08:31:00Z</dcterms:created>
  <dcterms:modified xsi:type="dcterms:W3CDTF">2024-04-24T07:25:00Z</dcterms:modified>
</cp:coreProperties>
</file>